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C1EFE0" w14:textId="77777777" w:rsidR="00182879" w:rsidRDefault="00CA09C2" w:rsidP="007B463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14D6A079" wp14:editId="6766E10C">
            <wp:simplePos x="0" y="0"/>
            <wp:positionH relativeFrom="page">
              <wp:posOffset>400050</wp:posOffset>
            </wp:positionH>
            <wp:positionV relativeFrom="page">
              <wp:posOffset>409575</wp:posOffset>
            </wp:positionV>
            <wp:extent cx="6791325" cy="2292350"/>
            <wp:effectExtent l="0" t="0" r="9525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292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C543F" w14:textId="2B5CA8F4" w:rsidR="00182879" w:rsidRPr="001E4DD4" w:rsidRDefault="001E4DD4" w:rsidP="001E4DD4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EA16BF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Pr="001E4DD4">
        <w:rPr>
          <w:b/>
          <w:bCs/>
          <w:color w:val="FFFFFF"/>
          <w:position w:val="36"/>
          <w:sz w:val="32"/>
          <w:szCs w:val="32"/>
        </w:rPr>
        <w:tab/>
      </w:r>
      <w:r w:rsidR="00EA16BF" w:rsidRPr="00EA16BF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4121A4">
        <w:rPr>
          <w:b/>
          <w:bCs/>
          <w:color w:val="FFFFFF"/>
          <w:position w:val="36"/>
          <w:sz w:val="36"/>
          <w:szCs w:val="36"/>
        </w:rPr>
        <w:br/>
      </w:r>
      <w:r w:rsidR="004121A4">
        <w:rPr>
          <w:b/>
          <w:bCs/>
          <w:color w:val="FFFFFF"/>
          <w:position w:val="36"/>
          <w:sz w:val="36"/>
          <w:szCs w:val="36"/>
        </w:rPr>
        <w:tab/>
      </w:r>
      <w:r w:rsidR="00F41C4B" w:rsidRPr="00F41C4B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842B5B">
        <w:rPr>
          <w:b/>
          <w:bCs/>
          <w:color w:val="FFFFFF"/>
          <w:position w:val="36"/>
          <w:sz w:val="28"/>
          <w:szCs w:val="28"/>
        </w:rPr>
        <w:t>8</w:t>
      </w:r>
      <w:r w:rsidR="00F41C4B" w:rsidRPr="00F41C4B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842B5B">
        <w:rPr>
          <w:b/>
          <w:bCs/>
          <w:color w:val="FFFFFF"/>
          <w:position w:val="36"/>
          <w:sz w:val="28"/>
          <w:szCs w:val="28"/>
        </w:rPr>
        <w:t>5</w:t>
      </w:r>
    </w:p>
    <w:p w14:paraId="12D8AFA2" w14:textId="0B7369B4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1DD69CEA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65AADE27" w14:textId="5BA4D48E" w:rsidR="0028259D" w:rsidRPr="00AA7E73" w:rsidRDefault="00E50965" w:rsidP="00F51085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position w:val="24"/>
          <w:sz w:val="24"/>
          <w:szCs w:val="24"/>
        </w:rPr>
      </w:pPr>
      <w:r w:rsidRPr="00E50965">
        <w:rPr>
          <w:b/>
          <w:bCs/>
          <w:position w:val="36"/>
          <w:sz w:val="28"/>
          <w:szCs w:val="28"/>
        </w:rPr>
        <w:t>Erklärung des Herstellers/Lieferanten zu</w:t>
      </w:r>
      <w:r w:rsidR="0028259D" w:rsidRPr="0028259D">
        <w:rPr>
          <w:b/>
          <w:bCs/>
          <w:position w:val="36"/>
          <w:sz w:val="28"/>
          <w:szCs w:val="28"/>
        </w:rPr>
        <w:t xml:space="preserve"> Druckfarben</w:t>
      </w:r>
      <w:r w:rsidR="006E1AB7">
        <w:rPr>
          <w:b/>
          <w:bCs/>
          <w:position w:val="36"/>
          <w:sz w:val="28"/>
          <w:szCs w:val="28"/>
        </w:rPr>
        <w:t>/Drucklacken</w:t>
      </w:r>
      <w:r w:rsidR="00F51085">
        <w:rPr>
          <w:b/>
          <w:bCs/>
          <w:position w:val="36"/>
          <w:sz w:val="28"/>
          <w:szCs w:val="28"/>
        </w:rPr>
        <w:br/>
      </w:r>
      <w:r w:rsidR="00AA7E73" w:rsidRPr="00AA7E73">
        <w:rPr>
          <w:bCs/>
          <w:position w:val="36"/>
          <w:sz w:val="24"/>
          <w:szCs w:val="24"/>
        </w:rPr>
        <w:t>(Für Dispersionslacke gibt es ein eigenes Formular)</w:t>
      </w:r>
    </w:p>
    <w:p w14:paraId="58829115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404C86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6897906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2F4D84F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461B3593" w14:textId="7EA2FA33" w:rsid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pos="9214"/>
        </w:tabs>
        <w:suppressAutoHyphens w:val="0"/>
        <w:autoSpaceDN w:val="0"/>
        <w:adjustRightInd w:val="0"/>
        <w:rPr>
          <w:rFonts w:cs="Times New Roman"/>
          <w:i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der</w:t>
      </w:r>
      <w:r w:rsidRPr="001E4DD4">
        <w:rPr>
          <w:rFonts w:cs="Times New Roman"/>
          <w:sz w:val="22"/>
          <w:szCs w:val="22"/>
          <w:lang w:eastAsia="de-DE"/>
        </w:rPr>
        <w:br/>
        <w:t>Druckfarbe/n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</w:p>
    <w:p w14:paraId="07E4C17C" w14:textId="69B5BDAB" w:rsidR="00C67FCC" w:rsidRPr="001E4DD4" w:rsidRDefault="00C67FCC" w:rsidP="00C67FC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leader="do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</w:p>
    <w:p w14:paraId="27AEDF29" w14:textId="77777777" w:rsidR="00E50965" w:rsidRDefault="00E50965" w:rsidP="00E5096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04C1051E" w14:textId="77777777" w:rsidR="004D3FBB" w:rsidRDefault="004D3FBB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6F262F3" w14:textId="77777777" w:rsidR="007E6FAE" w:rsidRPr="008B76DD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Österreichischen Umweltzeichens eingehalten werden. </w:t>
      </w:r>
    </w:p>
    <w:p w14:paraId="7BCAE3F5" w14:textId="77777777" w:rsidR="007E6FAE" w:rsidRPr="008B76DD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7E657DE" w14:textId="22146A0B" w:rsidR="007E6FAE" w:rsidRDefault="007E6FAE" w:rsidP="00F5108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6E1AB7">
        <w:rPr>
          <w:rFonts w:cs="Times New Roman"/>
          <w:b/>
          <w:sz w:val="22"/>
          <w:szCs w:val="22"/>
          <w:lang w:val="de-DE" w:eastAsia="de-DE"/>
        </w:rPr>
        <w:t>Bitte achten Sie darauf diese Erklärung nur dann auszustellen, wenn im Folgenden ALLE Anforderungen eingehalten werden.</w:t>
      </w:r>
    </w:p>
    <w:p w14:paraId="0FA7A6ED" w14:textId="3250FAB3" w:rsidR="007E6FAE" w:rsidRPr="003F5E22" w:rsidRDefault="007E6FAE" w:rsidP="004F6D16">
      <w:pPr>
        <w:spacing w:after="240"/>
        <w:ind w:left="142" w:right="-287"/>
        <w:rPr>
          <w:sz w:val="22"/>
          <w:szCs w:val="22"/>
          <w:lang w:val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C53F2B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BD3DA8">
        <w:rPr>
          <w:rFonts w:cs="Times New Roman"/>
          <w:b/>
          <w:sz w:val="22"/>
          <w:szCs w:val="22"/>
          <w:lang w:val="de-DE" w:eastAsia="de-DE"/>
        </w:rPr>
        <w:t>Stoffe, d</w:t>
      </w:r>
      <w:r>
        <w:rPr>
          <w:rFonts w:cs="Times New Roman"/>
          <w:b/>
          <w:sz w:val="22"/>
          <w:szCs w:val="22"/>
          <w:lang w:val="de-DE" w:eastAsia="de-DE"/>
        </w:rPr>
        <w:t>ie in folgende H-Sätze 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2C7621" w14:paraId="41B73EEC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043AF3" w14:textId="77777777" w:rsidR="002C7621" w:rsidRDefault="002C7621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F56663A" w14:textId="77777777" w:rsidR="002C7621" w:rsidRDefault="002C7621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709C92C3" w14:textId="77777777" w:rsidR="002C7621" w:rsidRDefault="002C7621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2C7621" w14:paraId="5BCDE7A9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F5B5C8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64B8F86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4ABAD776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53D3263" w14:textId="77777777" w:rsidR="002C7621" w:rsidRPr="00752E82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17C2BA56" w14:textId="77777777" w:rsidR="002C7621" w:rsidRPr="00C911E4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24733BD4" w14:textId="77777777" w:rsidR="002C7621" w:rsidRPr="00E14356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3CAEB89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561D5FAC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CE8AAE5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04F11C04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30CC6CA4" w14:textId="77777777" w:rsidR="002C7621" w:rsidRPr="00752E82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2D70A958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1B7D4AE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FEC26FF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A0D27C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649ED716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4671E28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72FCC39D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65E94B21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41F41CCF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D0219A6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C7621" w14:paraId="343464D1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CAE4268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4365A57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1873E33C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90C7C04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EFE9A57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3011C22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0E1304B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A066943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5FB67CAB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A13AAB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0545E68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14:paraId="556B0C2F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6D9917F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3AFAC20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33D5E157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6BF48A2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352355B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C7621" w14:paraId="3A47D100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F32950F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28D1ABE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14:paraId="3FD27CD7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029CF01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EF749AF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607BB0D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090C1BC6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30924256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3C7AB1A1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19FCB73" w14:textId="77777777" w:rsidR="002C7621" w:rsidRPr="001F1590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A4CB9A5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:rsidRPr="00E153BD" w14:paraId="532A98D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9FD3A4A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2B209B1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153BD" w14:paraId="76CF340C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436BCF6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2FBF412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2C7621" w:rsidRPr="00E153BD" w14:paraId="13962F4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60CA494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E126AC1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2C7621" w14:paraId="215C30A8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03A177DD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6480196C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2C7621" w14:paraId="540F5C42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68C37080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2CBFC5AE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2C7621" w:rsidRPr="00E81D0D" w14:paraId="463A8E8E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5324B8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1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CB49164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2C7621" w:rsidRPr="00E81D0D" w14:paraId="018C0244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4F7BC6A3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5A802804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0FC5EA77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33F91E3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68CCB197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1314902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6C08D54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3FAAEE7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157A704D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6EB503C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C71D161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4ACB232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532E955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D2E0D90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6D13DC9D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E117BB1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FC3294B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7976829B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E035FFB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285FE38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2E3FD42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7D7376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C35926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622434F6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61B9E135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3301ABAF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14:paraId="7DC5AE90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221099C9" w14:textId="77777777" w:rsidR="002C7621" w:rsidRPr="00BC3E4B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71E87461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14:paraId="2E6B07C9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3C6B7EF" w14:textId="77777777" w:rsidR="002C7621" w:rsidRPr="00067EB2" w:rsidRDefault="002C7621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198B1BC6" w14:textId="77777777" w:rsidR="002C7621" w:rsidRPr="00067EB2" w:rsidRDefault="002C7621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8B54D8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21A82BBD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5B166D27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2"/>
            </w:r>
          </w:p>
        </w:tc>
        <w:tc>
          <w:tcPr>
            <w:tcW w:w="2552" w:type="dxa"/>
            <w:vAlign w:val="center"/>
          </w:tcPr>
          <w:p w14:paraId="066667C9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04886707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BA2C175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DE4908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5BFD551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FE539ED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7EC36C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5D4CC737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0B732EC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3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F29451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347F6C7E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58381D6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118EE6D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2C7621" w14:paraId="686618D5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1EDA7" w14:textId="77777777" w:rsidR="002C7621" w:rsidRPr="00067EB2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6D06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C7621" w14:paraId="49BD4DDF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38CEB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3F5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14:paraId="0B2C2E83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1451E" w14:textId="77777777" w:rsidR="002C7621" w:rsidRPr="00067EB2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57952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C7621" w14:paraId="0B4C63D9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10479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5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683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14:paraId="492119DE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F292B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B05F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A1A097B" w14:textId="77777777" w:rsidR="00635D59" w:rsidRDefault="00635D59" w:rsidP="00635D59">
      <w:pPr>
        <w:pStyle w:val="EinfacherAbsatz"/>
      </w:pPr>
    </w:p>
    <w:p w14:paraId="5E25EEA0" w14:textId="793B1805" w:rsidR="00E50965" w:rsidRDefault="006E1AB7" w:rsidP="002008A4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E50965"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="00E50965"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571E093C" w14:textId="79F3F33E" w:rsidR="00057AF6" w:rsidRDefault="00057AF6" w:rsidP="00057AF6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 w:rsidRPr="00EA16BF">
        <w:rPr>
          <w:rFonts w:cs="Times New Roman"/>
          <w:sz w:val="22"/>
          <w:szCs w:val="22"/>
          <w:lang w:eastAsia="de-DE"/>
        </w:rPr>
        <w:t xml:space="preserve">Die </w:t>
      </w:r>
      <w:r w:rsidR="00EF5F9A">
        <w:rPr>
          <w:rFonts w:cs="Times New Roman"/>
          <w:sz w:val="22"/>
          <w:szCs w:val="22"/>
          <w:lang w:eastAsia="de-DE"/>
        </w:rPr>
        <w:t>Druckfarben</w:t>
      </w:r>
      <w:r w:rsidR="00572540">
        <w:rPr>
          <w:rFonts w:cs="Times New Roman"/>
          <w:sz w:val="22"/>
          <w:szCs w:val="22"/>
          <w:lang w:eastAsia="de-DE"/>
        </w:rPr>
        <w:t>/</w:t>
      </w:r>
      <w:r w:rsidRPr="00E329DE">
        <w:rPr>
          <w:rFonts w:cs="Times New Roman"/>
          <w:sz w:val="22"/>
          <w:szCs w:val="22"/>
          <w:lang w:eastAsia="de-DE"/>
        </w:rPr>
        <w:t>Lacke</w:t>
      </w:r>
      <w:r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>
        <w:rPr>
          <w:rFonts w:cs="Times New Roman"/>
          <w:sz w:val="22"/>
          <w:szCs w:val="22"/>
          <w:lang w:eastAsia="de-DE"/>
        </w:rPr>
        <w:t>(ausgenommen Verunreinigungen gemäß UZ24, Ausgabe 2025</w:t>
      </w:r>
      <w:r w:rsidRPr="00EA16BF">
        <w:rPr>
          <w:rFonts w:cs="Times New Roman"/>
          <w:sz w:val="22"/>
          <w:szCs w:val="22"/>
          <w:lang w:eastAsia="de-DE"/>
        </w:rPr>
        <w:t>)</w:t>
      </w:r>
      <w:r>
        <w:rPr>
          <w:rFonts w:cs="Times New Roman"/>
          <w:sz w:val="22"/>
          <w:szCs w:val="22"/>
          <w:lang w:eastAsia="de-DE"/>
        </w:rPr>
        <w:t>.</w:t>
      </w:r>
    </w:p>
    <w:p w14:paraId="0D2F56F9" w14:textId="1C38DAA9" w:rsidR="00E50965" w:rsidRDefault="00057AF6" w:rsidP="00057AF6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Die angegebenen </w:t>
      </w:r>
      <w:r w:rsidR="00572540">
        <w:rPr>
          <w:rFonts w:cs="Times New Roman"/>
          <w:sz w:val="22"/>
          <w:szCs w:val="22"/>
          <w:lang w:eastAsia="de-DE"/>
        </w:rPr>
        <w:t>Druckfarben</w:t>
      </w:r>
      <w:r w:rsidR="00572540">
        <w:rPr>
          <w:sz w:val="22"/>
          <w:szCs w:val="22"/>
        </w:rPr>
        <w:t>/</w:t>
      </w:r>
      <w:r w:rsidRPr="0021684B">
        <w:rPr>
          <w:sz w:val="22"/>
          <w:szCs w:val="22"/>
        </w:rPr>
        <w:t>Lacke</w:t>
      </w:r>
      <w:r>
        <w:rPr>
          <w:sz w:val="22"/>
          <w:szCs w:val="22"/>
        </w:rPr>
        <w:t xml:space="preserve"> sind nachweislich </w:t>
      </w:r>
      <w:proofErr w:type="spellStart"/>
      <w:r>
        <w:rPr>
          <w:sz w:val="22"/>
          <w:szCs w:val="22"/>
        </w:rPr>
        <w:t>deinkbar</w:t>
      </w:r>
      <w:proofErr w:type="spellEnd"/>
      <w:r>
        <w:rPr>
          <w:sz w:val="22"/>
          <w:szCs w:val="22"/>
        </w:rPr>
        <w:t>.</w:t>
      </w:r>
      <w:r w:rsidR="00D81884">
        <w:rPr>
          <w:rFonts w:cs="Times New Roman"/>
          <w:sz w:val="22"/>
          <w:szCs w:val="22"/>
          <w:lang w:eastAsia="de-DE"/>
        </w:rPr>
        <w:br/>
      </w:r>
    </w:p>
    <w:p w14:paraId="3CBE13FD" w14:textId="419D02E0" w:rsidR="00182879" w:rsidRPr="003F5E22" w:rsidRDefault="003F5E22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3F5E22">
        <w:rPr>
          <w:rFonts w:cs="Times New Roman"/>
          <w:sz w:val="22"/>
          <w:szCs w:val="22"/>
          <w:lang w:eastAsia="de-DE"/>
        </w:rPr>
        <w:t>Phtalate, denen zum Zeitpunkt der Anwendung die Gefahrensätze H360F, H360D, H361f gemäß Verordnung (EG) Nr. 1272/2008 zugeordnet sind</w:t>
      </w:r>
      <w:r w:rsidR="00BB6A72">
        <w:rPr>
          <w:rFonts w:cs="Times New Roman"/>
          <w:sz w:val="22"/>
          <w:szCs w:val="22"/>
          <w:lang w:eastAsia="de-DE"/>
        </w:rPr>
        <w:t>,</w:t>
      </w:r>
      <w:r w:rsidRPr="003F5E22">
        <w:rPr>
          <w:rFonts w:cs="Times New Roman"/>
          <w:sz w:val="22"/>
          <w:szCs w:val="22"/>
          <w:lang w:eastAsia="de-DE"/>
        </w:rPr>
        <w:t xml:space="preserve"> </w:t>
      </w:r>
      <w:r w:rsidR="00BB6A72">
        <w:rPr>
          <w:rFonts w:cs="Times New Roman"/>
          <w:sz w:val="22"/>
          <w:szCs w:val="22"/>
          <w:lang w:eastAsia="de-DE"/>
        </w:rPr>
        <w:t>wurden den Druckfarben</w:t>
      </w:r>
      <w:r w:rsidR="00407704">
        <w:rPr>
          <w:rFonts w:cs="Times New Roman"/>
          <w:sz w:val="22"/>
          <w:szCs w:val="22"/>
          <w:lang w:eastAsia="de-DE"/>
        </w:rPr>
        <w:t>/Lacken</w:t>
      </w:r>
      <w:r w:rsidR="00BB6A72">
        <w:rPr>
          <w:rFonts w:cs="Times New Roman"/>
          <w:sz w:val="22"/>
          <w:szCs w:val="22"/>
          <w:lang w:eastAsia="de-DE"/>
        </w:rPr>
        <w:t xml:space="preserve"> n</w:t>
      </w:r>
      <w:r w:rsidRPr="003F5E22">
        <w:rPr>
          <w:rFonts w:cs="Times New Roman"/>
          <w:sz w:val="22"/>
          <w:szCs w:val="22"/>
          <w:lang w:eastAsia="de-DE"/>
        </w:rPr>
        <w:t>icht zugesetzt</w:t>
      </w:r>
      <w:r w:rsidR="007E6FAE">
        <w:rPr>
          <w:rFonts w:cs="Times New Roman"/>
          <w:sz w:val="22"/>
          <w:szCs w:val="22"/>
          <w:lang w:eastAsia="de-DE"/>
        </w:rPr>
        <w:t>.</w:t>
      </w:r>
    </w:p>
    <w:p w14:paraId="6311B670" w14:textId="3536772F" w:rsidR="003F5E22" w:rsidRPr="007520B6" w:rsidRDefault="003F5E22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="005C6D5D" w:rsidRPr="005C6D5D">
        <w:rPr>
          <w:rFonts w:cs="Times New Roman"/>
          <w:sz w:val="22"/>
          <w:szCs w:val="22"/>
          <w:lang w:eastAsia="de-DE"/>
        </w:rPr>
        <w:t>Arsen, Selen, Quecksilber, Blei-, Cadmium, Kobalt-, Nickel-, Chrom-VI- oder Kupferverbindungen (mit Ausnahme von Kupferphthalocyanin)</w:t>
      </w:r>
      <w:r w:rsidRPr="007520B6">
        <w:rPr>
          <w:rFonts w:cs="Times New Roman"/>
          <w:sz w:val="22"/>
          <w:szCs w:val="22"/>
          <w:lang w:eastAsia="de-DE"/>
        </w:rPr>
        <w:t xml:space="preserve"> sind nicht als konstitutionelle Bestandteile der Pigmente der Druckfarben</w:t>
      </w:r>
      <w:r w:rsidR="00407704">
        <w:rPr>
          <w:rFonts w:cs="Times New Roman"/>
          <w:sz w:val="22"/>
          <w:szCs w:val="22"/>
          <w:lang w:eastAsia="de-DE"/>
        </w:rPr>
        <w:t>/Lacke</w:t>
      </w:r>
      <w:r w:rsidRPr="007520B6">
        <w:rPr>
          <w:rFonts w:cs="Times New Roman"/>
          <w:sz w:val="22"/>
          <w:szCs w:val="22"/>
          <w:lang w:eastAsia="de-DE"/>
        </w:rPr>
        <w:t xml:space="preserve"> enthalten</w:t>
      </w:r>
      <w:r w:rsidR="007E6FAE">
        <w:rPr>
          <w:rFonts w:cs="Times New Roman"/>
          <w:sz w:val="22"/>
          <w:szCs w:val="22"/>
          <w:lang w:eastAsia="de-DE"/>
        </w:rPr>
        <w:t>.</w:t>
      </w:r>
      <w:r w:rsidRPr="007520B6">
        <w:rPr>
          <w:rFonts w:cs="Times New Roman"/>
          <w:sz w:val="22"/>
          <w:szCs w:val="22"/>
          <w:lang w:eastAsia="de-DE"/>
        </w:rPr>
        <w:t xml:space="preserve"> </w:t>
      </w:r>
    </w:p>
    <w:p w14:paraId="3990C53F" w14:textId="22D30D6C" w:rsidR="003F5E22" w:rsidRPr="003E6454" w:rsidRDefault="003F5E22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  <w:r w:rsidRPr="003E6454">
        <w:rPr>
          <w:sz w:val="22"/>
          <w:szCs w:val="22"/>
        </w:rPr>
        <w:t>Pigmente, die durch Aufspaltung einer oder mehrerer Azogruppen die angeführten Amine freisetzen können, sind nicht Bestandteil der Druckfar</w:t>
      </w:r>
      <w:r>
        <w:rPr>
          <w:sz w:val="22"/>
          <w:szCs w:val="22"/>
        </w:rPr>
        <w:t>ben</w:t>
      </w:r>
      <w:r w:rsidR="00407704">
        <w:rPr>
          <w:sz w:val="22"/>
          <w:szCs w:val="22"/>
        </w:rPr>
        <w:t>/Lacke</w:t>
      </w:r>
      <w:r w:rsidR="007E6FAE">
        <w:rPr>
          <w:sz w:val="22"/>
          <w:szCs w:val="22"/>
        </w:rPr>
        <w:t>:</w:t>
      </w:r>
    </w:p>
    <w:p w14:paraId="01EBE492" w14:textId="77777777" w:rsidR="0003181B" w:rsidRDefault="0003181B" w:rsidP="003F5E22">
      <w:pPr>
        <w:pStyle w:val="0"/>
        <w:tabs>
          <w:tab w:val="left" w:pos="5245"/>
        </w:tabs>
        <w:spacing w:after="120"/>
        <w:ind w:left="1134"/>
        <w:rPr>
          <w:sz w:val="20"/>
        </w:rPr>
      </w:pPr>
    </w:p>
    <w:p w14:paraId="00F43C01" w14:textId="77777777" w:rsidR="007E6FAE" w:rsidRPr="00FE703B" w:rsidRDefault="007E6FAE" w:rsidP="007E6FAE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lastRenderedPageBreak/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o-Aminoazotoluol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6E44198E" w14:textId="4CE85295" w:rsidR="00890076" w:rsidRDefault="00890076" w:rsidP="00890076">
      <w:pPr>
        <w:tabs>
          <w:tab w:val="left" w:pos="709"/>
          <w:tab w:val="left" w:pos="851"/>
        </w:tabs>
        <w:suppressAutoHyphens w:val="0"/>
        <w:autoSpaceDN w:val="0"/>
        <w:adjustRightInd w:val="0"/>
        <w:ind w:left="567" w:hanging="567"/>
        <w:rPr>
          <w:rFonts w:cs="Times New Roman"/>
          <w:sz w:val="22"/>
          <w:szCs w:val="22"/>
          <w:lang w:eastAsia="de-DE"/>
        </w:rPr>
      </w:pPr>
    </w:p>
    <w:p w14:paraId="77595E6C" w14:textId="1EFA206E" w:rsidR="00890076" w:rsidRDefault="00890076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sz w:val="22"/>
          <w:szCs w:val="22"/>
        </w:rPr>
      </w:pPr>
      <w:r w:rsidRPr="003E6454">
        <w:rPr>
          <w:sz w:val="22"/>
          <w:szCs w:val="22"/>
        </w:rPr>
        <w:t>Die Druckfarben</w:t>
      </w:r>
      <w:r w:rsidR="00407704">
        <w:rPr>
          <w:sz w:val="22"/>
          <w:szCs w:val="22"/>
        </w:rPr>
        <w:t>/Lacke</w:t>
      </w:r>
      <w:r w:rsidRPr="003E6454">
        <w:rPr>
          <w:sz w:val="22"/>
          <w:szCs w:val="22"/>
        </w:rPr>
        <w:t xml:space="preserve"> enthalten keine Pigmente, </w:t>
      </w:r>
      <w:r w:rsidR="009D0E91" w:rsidRPr="009D0E91">
        <w:rPr>
          <w:sz w:val="22"/>
          <w:szCs w:val="22"/>
        </w:rPr>
        <w:t>der</w:t>
      </w:r>
      <w:r w:rsidR="009D0E91">
        <w:rPr>
          <w:sz w:val="22"/>
          <w:szCs w:val="22"/>
        </w:rPr>
        <w:t>en</w:t>
      </w:r>
      <w:r w:rsidR="009D0E91" w:rsidRPr="009D0E91">
        <w:rPr>
          <w:sz w:val="22"/>
          <w:szCs w:val="22"/>
        </w:rPr>
        <w:t xml:space="preserve"> extrahierbare</w:t>
      </w:r>
      <w:r w:rsidR="00B57390">
        <w:rPr>
          <w:sz w:val="22"/>
          <w:szCs w:val="22"/>
        </w:rPr>
        <w:t>r</w:t>
      </w:r>
      <w:r w:rsidR="009D0E91" w:rsidRPr="009D0E91">
        <w:rPr>
          <w:sz w:val="22"/>
          <w:szCs w:val="22"/>
        </w:rPr>
        <w:t xml:space="preserve"> Gesamtgehalt an polychlorierten Biphenylen (PCBs) 50 ppm überschreitet.</w:t>
      </w:r>
    </w:p>
    <w:p w14:paraId="74BEC0A0" w14:textId="77777777" w:rsidR="007E6FAE" w:rsidRPr="00EA16BF" w:rsidRDefault="007E6FAE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3A883CC9" w14:textId="7D567E0A" w:rsidR="00890076" w:rsidRPr="00EA16BF" w:rsidRDefault="007E6FAE" w:rsidP="007E6FAE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nachfolgenden</w:t>
      </w:r>
      <w:r w:rsidR="00890076"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Druckfarben</w:t>
      </w:r>
      <w:r w:rsidR="00407704">
        <w:rPr>
          <w:rFonts w:cs="Times New Roman"/>
          <w:sz w:val="22"/>
          <w:szCs w:val="22"/>
          <w:lang w:eastAsia="de-DE"/>
        </w:rPr>
        <w:t>/Lacke</w:t>
      </w:r>
      <w:r w:rsidR="00890076" w:rsidRPr="00EA16BF">
        <w:rPr>
          <w:rFonts w:cs="Times New Roman"/>
          <w:sz w:val="22"/>
          <w:szCs w:val="22"/>
          <w:lang w:eastAsia="de-DE"/>
        </w:rPr>
        <w:t xml:space="preserve"> eingehalten</w:t>
      </w:r>
      <w:r>
        <w:rPr>
          <w:rFonts w:cs="Times New Roman"/>
          <w:sz w:val="22"/>
          <w:szCs w:val="22"/>
          <w:lang w:eastAsia="de-DE"/>
        </w:rPr>
        <w:t>:</w:t>
      </w:r>
    </w:p>
    <w:p w14:paraId="1790C60F" w14:textId="519DD5AE" w:rsidR="00890076" w:rsidRDefault="006E1AB7" w:rsidP="00890076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</w:t>
      </w:r>
      <w:r w:rsidR="00890076" w:rsidRPr="00CE303A">
        <w:rPr>
          <w:sz w:val="22"/>
          <w:szCs w:val="22"/>
        </w:rPr>
        <w:t>%</w:t>
      </w:r>
      <w:r w:rsidR="00890076" w:rsidRPr="003E6454">
        <w:rPr>
          <w:sz w:val="22"/>
          <w:szCs w:val="22"/>
        </w:rPr>
        <w:t xml:space="preserve"> </w:t>
      </w:r>
    </w:p>
    <w:p w14:paraId="368C6D8D" w14:textId="77777777" w:rsidR="00605AFF" w:rsidRDefault="006E1AB7" w:rsidP="00F5108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proofErr w:type="spellStart"/>
      <w:r>
        <w:rPr>
          <w:sz w:val="22"/>
          <w:szCs w:val="22"/>
        </w:rPr>
        <w:t>Mn</w:t>
      </w:r>
      <w:proofErr w:type="spellEnd"/>
      <w:r>
        <w:rPr>
          <w:sz w:val="22"/>
          <w:szCs w:val="22"/>
        </w:rPr>
        <w:t>: &lt; 0,5 Gewichts</w:t>
      </w:r>
      <w:r w:rsidR="00890076" w:rsidRPr="003E6454">
        <w:rPr>
          <w:sz w:val="22"/>
          <w:szCs w:val="22"/>
        </w:rPr>
        <w:t>%</w:t>
      </w:r>
    </w:p>
    <w:p w14:paraId="54362910" w14:textId="77777777" w:rsidR="00605AFF" w:rsidRDefault="00605AFF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BD43EEF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Von den aliphatischen Kohlenwasserstoffen </w:t>
      </w:r>
      <w:r>
        <w:rPr>
          <w:sz w:val="22"/>
          <w:szCs w:val="22"/>
        </w:rPr>
        <w:t>sind</w:t>
      </w:r>
      <w:r w:rsidRPr="00D41E4A">
        <w:rPr>
          <w:sz w:val="22"/>
          <w:szCs w:val="22"/>
        </w:rPr>
        <w:t xml:space="preserve"> als konstitutionelle Bestandteile nur Stoffe der Kettenlänge C10 bis C20 </w:t>
      </w:r>
      <w:r>
        <w:rPr>
          <w:sz w:val="22"/>
          <w:szCs w:val="22"/>
        </w:rPr>
        <w:t>enthalten</w:t>
      </w:r>
      <w:r w:rsidRPr="00D41E4A">
        <w:rPr>
          <w:sz w:val="22"/>
          <w:szCs w:val="22"/>
        </w:rPr>
        <w:t xml:space="preserve">; zusätzlich </w:t>
      </w:r>
      <w:r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die folgenden hochmolekularen Verbindungen ohne Löseeigenschaften</w:t>
      </w:r>
      <w:r>
        <w:rPr>
          <w:sz w:val="22"/>
          <w:szCs w:val="22"/>
        </w:rPr>
        <w:t xml:space="preserve"> nur mit einer </w:t>
      </w:r>
      <w:r w:rsidRPr="00D41E4A">
        <w:rPr>
          <w:sz w:val="22"/>
          <w:szCs w:val="22"/>
        </w:rPr>
        <w:t>Kohlenstoffzahl C &gt; 35 eingesetzt</w:t>
      </w:r>
      <w:r>
        <w:rPr>
          <w:sz w:val="22"/>
          <w:szCs w:val="22"/>
        </w:rPr>
        <w:t xml:space="preserve"> und </w:t>
      </w:r>
      <w:r w:rsidRPr="00D41E4A">
        <w:rPr>
          <w:sz w:val="22"/>
          <w:szCs w:val="22"/>
        </w:rPr>
        <w:t xml:space="preserve">der Anteil mit Kohlenstoffzahl C20 bis C35 </w:t>
      </w:r>
      <w:r>
        <w:rPr>
          <w:sz w:val="22"/>
          <w:szCs w:val="22"/>
        </w:rPr>
        <w:t xml:space="preserve">beträgt </w:t>
      </w:r>
      <w:r w:rsidRPr="00D41E4A">
        <w:rPr>
          <w:sz w:val="22"/>
          <w:szCs w:val="22"/>
        </w:rPr>
        <w:t>max. 5 %: mikrokristalline Wachse, Vaseline, Polyolefin-, Paraffin- oder Fischer-Tropsch-Wachse.</w:t>
      </w:r>
    </w:p>
    <w:p w14:paraId="287F32B0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32C857F0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Als konstitutionelle Bestandteile </w:t>
      </w:r>
      <w:r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nur bis 0,1 </w:t>
      </w:r>
      <w:proofErr w:type="spellStart"/>
      <w:r w:rsidRPr="00D41E4A">
        <w:rPr>
          <w:sz w:val="22"/>
          <w:szCs w:val="22"/>
        </w:rPr>
        <w:t>Gew</w:t>
      </w:r>
      <w:proofErr w:type="spellEnd"/>
      <w:r w:rsidRPr="00D41E4A">
        <w:rPr>
          <w:sz w:val="22"/>
          <w:szCs w:val="22"/>
        </w:rPr>
        <w:t>.-% aromatische Kohlenwasserstoffe aus Mineralöl verwendet</w:t>
      </w:r>
      <w:r>
        <w:rPr>
          <w:sz w:val="22"/>
          <w:szCs w:val="22"/>
        </w:rPr>
        <w:t xml:space="preserve"> (ausgenommen </w:t>
      </w:r>
      <w:proofErr w:type="spellStart"/>
      <w:r w:rsidRPr="00D41E4A">
        <w:rPr>
          <w:sz w:val="22"/>
          <w:szCs w:val="22"/>
        </w:rPr>
        <w:t>Heatset</w:t>
      </w:r>
      <w:proofErr w:type="spellEnd"/>
      <w:r w:rsidRPr="00D41E4A">
        <w:rPr>
          <w:sz w:val="22"/>
          <w:szCs w:val="22"/>
        </w:rPr>
        <w:t>-Rollenoffsetdruck</w:t>
      </w:r>
      <w:r>
        <w:rPr>
          <w:sz w:val="22"/>
          <w:szCs w:val="22"/>
        </w:rPr>
        <w:t>:</w:t>
      </w:r>
      <w:r w:rsidRPr="00D41E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es </w:t>
      </w:r>
      <w:r w:rsidRPr="00D41E4A">
        <w:rPr>
          <w:sz w:val="22"/>
          <w:szCs w:val="22"/>
        </w:rPr>
        <w:t xml:space="preserve">dürfen aufgrund der überwiegenden Zerstörung der Öle im Trockner als Lösemittel bis zu 1 </w:t>
      </w:r>
      <w:proofErr w:type="spellStart"/>
      <w:r w:rsidRPr="00D41E4A">
        <w:rPr>
          <w:sz w:val="22"/>
          <w:szCs w:val="22"/>
        </w:rPr>
        <w:t>Gew</w:t>
      </w:r>
      <w:proofErr w:type="spellEnd"/>
      <w:r w:rsidRPr="00D41E4A">
        <w:rPr>
          <w:sz w:val="22"/>
          <w:szCs w:val="22"/>
        </w:rPr>
        <w:t>.-% aromatische Kohlenwasserstoffe aus Mineralöl enthalten sein</w:t>
      </w:r>
      <w:r>
        <w:rPr>
          <w:sz w:val="22"/>
          <w:szCs w:val="22"/>
        </w:rPr>
        <w:t>).</w:t>
      </w:r>
    </w:p>
    <w:p w14:paraId="4AE26F66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6BD87465" w14:textId="6DBB8024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Darüber hinaus </w:t>
      </w:r>
      <w:r>
        <w:rPr>
          <w:sz w:val="22"/>
          <w:szCs w:val="22"/>
        </w:rPr>
        <w:t>wird</w:t>
      </w:r>
      <w:r w:rsidRPr="00D41E4A">
        <w:rPr>
          <w:sz w:val="22"/>
          <w:szCs w:val="22"/>
        </w:rPr>
        <w:t xml:space="preserve"> für jeden der folgenden PAK jeweils ein Wert von 0,2 mg/kg i</w:t>
      </w:r>
      <w:r w:rsidR="003A753F">
        <w:rPr>
          <w:sz w:val="22"/>
          <w:szCs w:val="22"/>
        </w:rPr>
        <w:t>n</w:t>
      </w:r>
      <w:r w:rsidRPr="00D41E4A">
        <w:rPr>
          <w:sz w:val="22"/>
          <w:szCs w:val="22"/>
        </w:rPr>
        <w:t xml:space="preserve"> </w:t>
      </w:r>
      <w:r w:rsidR="00732C34">
        <w:rPr>
          <w:sz w:val="22"/>
          <w:szCs w:val="22"/>
        </w:rPr>
        <w:t xml:space="preserve">den </w:t>
      </w:r>
      <w:r>
        <w:rPr>
          <w:sz w:val="22"/>
          <w:szCs w:val="22"/>
        </w:rPr>
        <w:t xml:space="preserve">jeweiligen </w:t>
      </w:r>
      <w:r w:rsidR="00732C34">
        <w:rPr>
          <w:sz w:val="22"/>
          <w:szCs w:val="22"/>
        </w:rPr>
        <w:t>Druckfarben/</w:t>
      </w:r>
      <w:r>
        <w:rPr>
          <w:sz w:val="22"/>
          <w:szCs w:val="22"/>
        </w:rPr>
        <w:t>Lack</w:t>
      </w:r>
      <w:r w:rsidR="00732C34">
        <w:rPr>
          <w:sz w:val="22"/>
          <w:szCs w:val="22"/>
        </w:rPr>
        <w:t>en</w:t>
      </w:r>
      <w:r w:rsidRPr="00D41E4A">
        <w:rPr>
          <w:sz w:val="22"/>
          <w:szCs w:val="22"/>
        </w:rPr>
        <w:t xml:space="preserve"> nicht überschritten: </w:t>
      </w:r>
    </w:p>
    <w:p w14:paraId="69F6267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Benzo[a]</w:t>
      </w:r>
      <w:proofErr w:type="spellStart"/>
      <w:r w:rsidRPr="00D41E4A">
        <w:rPr>
          <w:sz w:val="22"/>
          <w:szCs w:val="22"/>
        </w:rPr>
        <w:t>pyren</w:t>
      </w:r>
      <w:proofErr w:type="spellEnd"/>
    </w:p>
    <w:p w14:paraId="232DE90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Benzo[e]</w:t>
      </w:r>
      <w:proofErr w:type="spellStart"/>
      <w:r w:rsidRPr="00D41E4A">
        <w:rPr>
          <w:sz w:val="22"/>
          <w:szCs w:val="22"/>
        </w:rPr>
        <w:t>pyren</w:t>
      </w:r>
      <w:proofErr w:type="spellEnd"/>
      <w:r w:rsidRPr="00D41E4A">
        <w:rPr>
          <w:sz w:val="22"/>
          <w:szCs w:val="22"/>
        </w:rPr>
        <w:t xml:space="preserve"> </w:t>
      </w:r>
    </w:p>
    <w:p w14:paraId="3350ECC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Benzo[a]</w:t>
      </w:r>
      <w:proofErr w:type="spellStart"/>
      <w:r w:rsidRPr="00D41E4A">
        <w:rPr>
          <w:sz w:val="22"/>
          <w:szCs w:val="22"/>
        </w:rPr>
        <w:t>anthracen</w:t>
      </w:r>
      <w:proofErr w:type="spellEnd"/>
      <w:r w:rsidRPr="00D41E4A">
        <w:rPr>
          <w:sz w:val="22"/>
          <w:szCs w:val="22"/>
        </w:rPr>
        <w:t xml:space="preserve"> </w:t>
      </w:r>
    </w:p>
    <w:p w14:paraId="4297B20E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Benzo[b]</w:t>
      </w:r>
      <w:proofErr w:type="spellStart"/>
      <w:r w:rsidRPr="00D41E4A">
        <w:rPr>
          <w:sz w:val="22"/>
          <w:szCs w:val="22"/>
        </w:rPr>
        <w:t>fluoranthen</w:t>
      </w:r>
      <w:proofErr w:type="spellEnd"/>
      <w:r w:rsidRPr="00D41E4A">
        <w:rPr>
          <w:sz w:val="22"/>
          <w:szCs w:val="22"/>
        </w:rPr>
        <w:t xml:space="preserve"> </w:t>
      </w:r>
    </w:p>
    <w:p w14:paraId="5096AC49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Benzo[j]</w:t>
      </w:r>
      <w:proofErr w:type="spellStart"/>
      <w:r w:rsidRPr="00D41E4A">
        <w:rPr>
          <w:sz w:val="22"/>
          <w:szCs w:val="22"/>
        </w:rPr>
        <w:t>fluoranthen</w:t>
      </w:r>
      <w:proofErr w:type="spellEnd"/>
      <w:r w:rsidRPr="00D41E4A">
        <w:rPr>
          <w:sz w:val="22"/>
          <w:szCs w:val="22"/>
        </w:rPr>
        <w:t xml:space="preserve"> </w:t>
      </w:r>
    </w:p>
    <w:p w14:paraId="3F5C4742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Benzo[k]</w:t>
      </w:r>
      <w:proofErr w:type="spellStart"/>
      <w:r w:rsidRPr="00D41E4A">
        <w:rPr>
          <w:sz w:val="22"/>
          <w:szCs w:val="22"/>
        </w:rPr>
        <w:t>fluoranthen</w:t>
      </w:r>
      <w:proofErr w:type="spellEnd"/>
      <w:r w:rsidRPr="00D41E4A">
        <w:rPr>
          <w:sz w:val="22"/>
          <w:szCs w:val="22"/>
        </w:rPr>
        <w:t xml:space="preserve"> </w:t>
      </w:r>
    </w:p>
    <w:p w14:paraId="5226878B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</w:r>
      <w:proofErr w:type="spellStart"/>
      <w:r w:rsidRPr="00D41E4A">
        <w:rPr>
          <w:sz w:val="22"/>
          <w:szCs w:val="22"/>
        </w:rPr>
        <w:t>Chrysen</w:t>
      </w:r>
      <w:proofErr w:type="spellEnd"/>
    </w:p>
    <w:p w14:paraId="2B2AADCC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</w:r>
      <w:proofErr w:type="spellStart"/>
      <w:r w:rsidRPr="00D41E4A">
        <w:rPr>
          <w:sz w:val="22"/>
          <w:szCs w:val="22"/>
        </w:rPr>
        <w:t>Dibenzo</w:t>
      </w:r>
      <w:proofErr w:type="spellEnd"/>
      <w:r w:rsidRPr="00D41E4A">
        <w:rPr>
          <w:sz w:val="22"/>
          <w:szCs w:val="22"/>
        </w:rPr>
        <w:t>[</w:t>
      </w:r>
      <w:proofErr w:type="spellStart"/>
      <w:r w:rsidRPr="00D41E4A">
        <w:rPr>
          <w:sz w:val="22"/>
          <w:szCs w:val="22"/>
        </w:rPr>
        <w:t>a,h</w:t>
      </w:r>
      <w:proofErr w:type="spellEnd"/>
      <w:r w:rsidRPr="00D41E4A">
        <w:rPr>
          <w:sz w:val="22"/>
          <w:szCs w:val="22"/>
        </w:rPr>
        <w:t xml:space="preserve">] </w:t>
      </w:r>
      <w:proofErr w:type="spellStart"/>
      <w:r w:rsidRPr="00D41E4A">
        <w:rPr>
          <w:sz w:val="22"/>
          <w:szCs w:val="22"/>
        </w:rPr>
        <w:t>anthracen</w:t>
      </w:r>
      <w:proofErr w:type="spellEnd"/>
      <w:r w:rsidRPr="00D41E4A">
        <w:rPr>
          <w:sz w:val="22"/>
          <w:szCs w:val="22"/>
        </w:rPr>
        <w:t xml:space="preserve"> </w:t>
      </w:r>
    </w:p>
    <w:p w14:paraId="1F5A3DD5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lastRenderedPageBreak/>
        <w:t>•</w:t>
      </w:r>
      <w:r w:rsidRPr="00D41E4A">
        <w:rPr>
          <w:sz w:val="22"/>
          <w:szCs w:val="22"/>
        </w:rPr>
        <w:tab/>
        <w:t>Benzo[</w:t>
      </w:r>
      <w:proofErr w:type="spellStart"/>
      <w:r w:rsidRPr="00D41E4A">
        <w:rPr>
          <w:sz w:val="22"/>
          <w:szCs w:val="22"/>
        </w:rPr>
        <w:t>ghi</w:t>
      </w:r>
      <w:proofErr w:type="spellEnd"/>
      <w:r w:rsidRPr="00D41E4A">
        <w:rPr>
          <w:sz w:val="22"/>
          <w:szCs w:val="22"/>
        </w:rPr>
        <w:t>]</w:t>
      </w:r>
      <w:proofErr w:type="spellStart"/>
      <w:r w:rsidRPr="00D41E4A">
        <w:rPr>
          <w:sz w:val="22"/>
          <w:szCs w:val="22"/>
        </w:rPr>
        <w:t>perylen</w:t>
      </w:r>
      <w:proofErr w:type="spellEnd"/>
      <w:r w:rsidRPr="00D41E4A">
        <w:rPr>
          <w:sz w:val="22"/>
          <w:szCs w:val="22"/>
        </w:rPr>
        <w:t xml:space="preserve"> </w:t>
      </w:r>
    </w:p>
    <w:p w14:paraId="6402DC3C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</w:r>
      <w:proofErr w:type="spellStart"/>
      <w:r w:rsidRPr="00D41E4A">
        <w:rPr>
          <w:sz w:val="22"/>
          <w:szCs w:val="22"/>
        </w:rPr>
        <w:t>Indeno</w:t>
      </w:r>
      <w:proofErr w:type="spellEnd"/>
      <w:r w:rsidRPr="00D41E4A">
        <w:rPr>
          <w:sz w:val="22"/>
          <w:szCs w:val="22"/>
        </w:rPr>
        <w:t>[1,2,3-cd]</w:t>
      </w:r>
      <w:proofErr w:type="spellStart"/>
      <w:r w:rsidRPr="00D41E4A">
        <w:rPr>
          <w:sz w:val="22"/>
          <w:szCs w:val="22"/>
        </w:rPr>
        <w:t>pyren</w:t>
      </w:r>
      <w:proofErr w:type="spellEnd"/>
    </w:p>
    <w:p w14:paraId="162560EC" w14:textId="3CD22EEB" w:rsidR="00890076" w:rsidRDefault="00890076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  <w:lang w:val="de-DE"/>
        </w:rPr>
      </w:pPr>
    </w:p>
    <w:bookmarkStart w:id="6" w:name="_Hlk70150325"/>
    <w:p w14:paraId="01F07896" w14:textId="4DE7191B" w:rsidR="00CE0F66" w:rsidRPr="00CE303A" w:rsidRDefault="00CE0F66" w:rsidP="00CE0F66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 w:rsidRPr="00CE303A">
        <w:rPr>
          <w:sz w:val="22"/>
          <w:szCs w:val="22"/>
        </w:rPr>
        <w:t>Die Druckfarben/Lacke enthalten KEINE Biozide.</w:t>
      </w:r>
    </w:p>
    <w:p w14:paraId="014EC094" w14:textId="30C0A2CE" w:rsidR="00CE0F66" w:rsidRPr="00CE303A" w:rsidRDefault="00CE0F66" w:rsidP="00CE0F66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Die Druckfarben/Lacke enthalten Biozide. Bei diesen handelt es sich ausschließlich um Topfkonservierungsmittel (Produktart 6) oder Konservierungsmittel für Flüssigkeiten in Kühl- und Verfahrenssystemen (Produktart 11).</w:t>
      </w:r>
    </w:p>
    <w:bookmarkEnd w:id="6"/>
    <w:p w14:paraId="453E9614" w14:textId="77777777" w:rsidR="00CE0F66" w:rsidRPr="00CE303A" w:rsidRDefault="00CE0F66" w:rsidP="00CE0F66">
      <w:pPr>
        <w:pStyle w:val="janein"/>
        <w:ind w:left="567" w:hanging="567"/>
        <w:rPr>
          <w:sz w:val="22"/>
          <w:szCs w:val="22"/>
        </w:rPr>
      </w:pPr>
    </w:p>
    <w:p w14:paraId="0D106377" w14:textId="2F347EED" w:rsidR="00CE0F66" w:rsidRPr="00CE303A" w:rsidRDefault="00CE0F66" w:rsidP="00CE0F66">
      <w:pPr>
        <w:pStyle w:val="janein"/>
        <w:spacing w:before="0"/>
        <w:ind w:left="1134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H317 oder H334 gekennzeichnet sind. Falls zutreffend beträgt deren Konzentration maximal 0,1%.</w:t>
      </w:r>
    </w:p>
    <w:p w14:paraId="48C489AC" w14:textId="77777777" w:rsidR="00CE0F66" w:rsidRPr="00CE303A" w:rsidRDefault="00CE0F66" w:rsidP="00CE0F66">
      <w:pPr>
        <w:pStyle w:val="janein"/>
        <w:spacing w:before="0"/>
        <w:ind w:left="1134" w:hanging="567"/>
        <w:rPr>
          <w:sz w:val="22"/>
          <w:szCs w:val="22"/>
        </w:rPr>
      </w:pPr>
    </w:p>
    <w:p w14:paraId="36E2633A" w14:textId="64E2436F" w:rsidR="00CE0F66" w:rsidRPr="00CE303A" w:rsidRDefault="00CE0F66" w:rsidP="00CE0F66">
      <w:pPr>
        <w:pStyle w:val="janein"/>
        <w:ind w:left="1134" w:right="-142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H410 oder H411 gekennzeichnet sind.</w:t>
      </w:r>
    </w:p>
    <w:p w14:paraId="26057672" w14:textId="77777777" w:rsidR="00CE0F66" w:rsidRPr="00CE303A" w:rsidRDefault="00CE0F66" w:rsidP="00CE0F66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3A9DCD1B" w14:textId="77777777" w:rsidR="00CE0F66" w:rsidRPr="00CE303A" w:rsidRDefault="00CE0F66" w:rsidP="00CE0F66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Wenn zutreffend, so sind folgende Nachweise erforderlich:</w:t>
      </w:r>
    </w:p>
    <w:p w14:paraId="52D2488B" w14:textId="77777777" w:rsidR="00CE0F66" w:rsidRPr="00CE303A" w:rsidRDefault="00CE0F66" w:rsidP="00CE0F66">
      <w:pPr>
        <w:pStyle w:val="janein"/>
        <w:tabs>
          <w:tab w:val="left" w:pos="1418"/>
        </w:tabs>
        <w:ind w:left="1701" w:hanging="567"/>
        <w:rPr>
          <w:rFonts w:ascii="Wingdings" w:hAnsi="Wingdings"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a. </w:t>
      </w:r>
      <w:r w:rsidRPr="00CE303A">
        <w:rPr>
          <w:sz w:val="22"/>
          <w:szCs w:val="22"/>
        </w:rPr>
        <w:tab/>
        <w:t>Nachweise</w:t>
      </w:r>
      <w:r w:rsidRPr="00CE303A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CE303A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6835DE20" w14:textId="77777777" w:rsidR="00CE0F66" w:rsidRPr="00CE303A" w:rsidRDefault="00CE0F66" w:rsidP="00CE0F66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75976576" w14:textId="77777777" w:rsidR="00CE0F66" w:rsidRPr="00CE303A" w:rsidRDefault="00CE0F66" w:rsidP="00CE0F66">
      <w:pPr>
        <w:pStyle w:val="janein"/>
        <w:tabs>
          <w:tab w:val="left" w:pos="1418"/>
        </w:tabs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b. </w:t>
      </w:r>
      <w:r w:rsidRPr="00CE303A">
        <w:rPr>
          <w:sz w:val="22"/>
          <w:szCs w:val="22"/>
        </w:rPr>
        <w:tab/>
        <w:t>Sicherheitsdatenblätter</w:t>
      </w:r>
      <w:r w:rsidRPr="00CE303A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4C1C5907" w14:textId="77777777" w:rsidR="00CE0F66" w:rsidRPr="00CE303A" w:rsidRDefault="00CE0F66" w:rsidP="00CE0F66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76903071" w14:textId="77777777" w:rsidR="00CE0F66" w:rsidRPr="00CE303A" w:rsidRDefault="00CE0F66" w:rsidP="00CE0F66">
      <w:pPr>
        <w:pStyle w:val="janein"/>
        <w:tabs>
          <w:tab w:val="left" w:pos="1418"/>
        </w:tabs>
        <w:ind w:left="1701" w:hanging="567"/>
        <w:rPr>
          <w:sz w:val="22"/>
          <w:szCs w:val="22"/>
        </w:rPr>
      </w:pPr>
      <w:r w:rsidRPr="00CE303A">
        <w:rPr>
          <w:sz w:val="22"/>
          <w:szCs w:val="22"/>
        </w:rPr>
        <w:t xml:space="preserve">c. </w:t>
      </w:r>
      <w:r w:rsidRPr="00CE303A">
        <w:rPr>
          <w:sz w:val="22"/>
          <w:szCs w:val="22"/>
        </w:rPr>
        <w:tab/>
        <w:t>Angabe des Log PoW bzw. des experimentell ermittelten Biokonzentrationsfaktors der Biozide:</w:t>
      </w:r>
    </w:p>
    <w:p w14:paraId="149F4328" w14:textId="77777777" w:rsidR="00CE0F66" w:rsidRPr="00CE303A" w:rsidRDefault="00CE0F66" w:rsidP="00CE0F66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AA19B2" w:rsidRPr="00CE303A" w14:paraId="173A9A24" w14:textId="77777777" w:rsidTr="00A82824">
        <w:tc>
          <w:tcPr>
            <w:tcW w:w="4361" w:type="dxa"/>
            <w:shd w:val="clear" w:color="auto" w:fill="auto"/>
            <w:vAlign w:val="center"/>
          </w:tcPr>
          <w:p w14:paraId="46072E6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8AF3B1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9B38679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AA19B2" w:rsidRPr="00CE303A" w14:paraId="07BA2E21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E3803D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5F706E7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0D07234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AA19B2" w:rsidRPr="00CE303A" w14:paraId="67E0B261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C885792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5943CA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02E6B5FF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AA19B2" w:rsidRPr="00CE0F66" w14:paraId="3F1B439A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2281CAA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E0860A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0B831723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2BEEC461" w14:textId="77777777" w:rsidR="00CE0F66" w:rsidRPr="00CE0F66" w:rsidRDefault="00CE0F66" w:rsidP="005C6D5D">
      <w:pPr>
        <w:pStyle w:val="janein"/>
        <w:spacing w:before="240"/>
        <w:rPr>
          <w:rFonts w:cs="Times New Roman"/>
          <w:sz w:val="22"/>
          <w:szCs w:val="22"/>
          <w:highlight w:val="yellow"/>
          <w:lang w:eastAsia="de-DE"/>
        </w:rPr>
      </w:pPr>
    </w:p>
    <w:p w14:paraId="01D0A6B3" w14:textId="783D15A6" w:rsidR="0021684B" w:rsidRPr="0021684B" w:rsidRDefault="0021684B" w:rsidP="0021684B">
      <w:pPr>
        <w:pStyle w:val="janein"/>
        <w:spacing w:before="0"/>
        <w:rPr>
          <w:sz w:val="22"/>
          <w:szCs w:val="22"/>
        </w:rPr>
      </w:pPr>
      <w:r w:rsidRPr="0021684B">
        <w:rPr>
          <w:sz w:val="22"/>
          <w:szCs w:val="22"/>
        </w:rPr>
        <w:t xml:space="preserve">Die </w:t>
      </w:r>
      <w:r w:rsidR="000269B1">
        <w:rPr>
          <w:sz w:val="22"/>
          <w:szCs w:val="22"/>
        </w:rPr>
        <w:t xml:space="preserve">angegebenen </w:t>
      </w:r>
      <w:r w:rsidRPr="0021684B">
        <w:rPr>
          <w:sz w:val="22"/>
          <w:szCs w:val="22"/>
        </w:rPr>
        <w:t>Druckfarben</w:t>
      </w:r>
      <w:r>
        <w:rPr>
          <w:sz w:val="22"/>
          <w:szCs w:val="22"/>
        </w:rPr>
        <w:t xml:space="preserve"> </w:t>
      </w:r>
      <w:r w:rsidR="000269B1">
        <w:rPr>
          <w:sz w:val="22"/>
          <w:szCs w:val="22"/>
        </w:rPr>
        <w:t xml:space="preserve">sind nachweislich </w:t>
      </w:r>
      <w:proofErr w:type="spellStart"/>
      <w:r w:rsidR="000269B1">
        <w:rPr>
          <w:sz w:val="22"/>
          <w:szCs w:val="22"/>
        </w:rPr>
        <w:t>deinkbar</w:t>
      </w:r>
      <w:proofErr w:type="spellEnd"/>
      <w:r w:rsidR="000269B1">
        <w:rPr>
          <w:sz w:val="22"/>
          <w:szCs w:val="22"/>
        </w:rPr>
        <w:t>.</w:t>
      </w:r>
    </w:p>
    <w:p w14:paraId="1DFEEB2C" w14:textId="2C741E48" w:rsidR="005C6D5D" w:rsidRDefault="006E1AB7" w:rsidP="005C6D5D">
      <w:pPr>
        <w:pStyle w:val="janein"/>
        <w:spacing w:before="240"/>
        <w:rPr>
          <w:sz w:val="22"/>
          <w:szCs w:val="22"/>
        </w:rPr>
      </w:pPr>
      <w:r w:rsidRPr="00CE303A">
        <w:rPr>
          <w:sz w:val="22"/>
          <w:szCs w:val="22"/>
          <w:u w:val="single"/>
        </w:rPr>
        <w:t>Betrifft ausschließlich</w:t>
      </w:r>
      <w:r>
        <w:rPr>
          <w:sz w:val="22"/>
          <w:szCs w:val="22"/>
          <w:u w:val="single"/>
        </w:rPr>
        <w:t xml:space="preserve"> o</w:t>
      </w:r>
      <w:r w:rsidR="005C6D5D" w:rsidRPr="005C6D5D">
        <w:rPr>
          <w:sz w:val="22"/>
          <w:szCs w:val="22"/>
          <w:u w:val="single"/>
        </w:rPr>
        <w:t>xidativ trocknende Druckfarben</w:t>
      </w:r>
      <w:r w:rsidR="005C6D5D">
        <w:rPr>
          <w:sz w:val="22"/>
          <w:szCs w:val="22"/>
        </w:rPr>
        <w:t>:</w:t>
      </w:r>
    </w:p>
    <w:p w14:paraId="3C5DF078" w14:textId="120593C0" w:rsidR="005C6D5D" w:rsidRPr="00DE123E" w:rsidRDefault="002545DD" w:rsidP="002545DD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567" w:hanging="567"/>
        <w:rPr>
          <w:sz w:val="22"/>
          <w:szCs w:val="22"/>
        </w:rPr>
      </w:pPr>
      <w:r w:rsidRPr="00DE123E">
        <w:rPr>
          <w:sz w:val="22"/>
          <w:szCs w:val="22"/>
        </w:rPr>
        <w:t xml:space="preserve">Der </w:t>
      </w:r>
      <w:r w:rsidR="005C6D5D" w:rsidRPr="00DE123E">
        <w:rPr>
          <w:sz w:val="22"/>
          <w:szCs w:val="22"/>
        </w:rPr>
        <w:t>Anteil kennzeichnungspflichtiger Trockenstoffe</w:t>
      </w:r>
      <w:r w:rsidR="007E6FAE">
        <w:rPr>
          <w:sz w:val="22"/>
          <w:szCs w:val="22"/>
        </w:rPr>
        <w:t xml:space="preserve"> beträgt max.</w:t>
      </w:r>
      <w:r w:rsidRPr="00DE123E">
        <w:rPr>
          <w:sz w:val="22"/>
          <w:szCs w:val="22"/>
        </w:rPr>
        <w:t xml:space="preserve"> 3 Gewichts%</w:t>
      </w:r>
      <w:r w:rsidR="00710C6C">
        <w:rPr>
          <w:sz w:val="22"/>
          <w:szCs w:val="22"/>
        </w:rPr>
        <w:t>.</w:t>
      </w:r>
      <w:r w:rsidR="005C6D5D" w:rsidRPr="00DE123E">
        <w:rPr>
          <w:sz w:val="22"/>
          <w:szCs w:val="22"/>
        </w:rPr>
        <w:t xml:space="preserve"> </w:t>
      </w:r>
    </w:p>
    <w:p w14:paraId="1446876F" w14:textId="3C97D062" w:rsidR="00F51085" w:rsidRDefault="002545DD" w:rsidP="0021684B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sz w:val="22"/>
          <w:szCs w:val="22"/>
        </w:rPr>
      </w:pPr>
      <w:r w:rsidRPr="00DE123E">
        <w:rPr>
          <w:rFonts w:cs="Times New Roman"/>
          <w:sz w:val="22"/>
          <w:szCs w:val="22"/>
          <w:lang w:eastAsia="de-DE"/>
        </w:rPr>
        <w:t xml:space="preserve">Der </w:t>
      </w:r>
      <w:r w:rsidR="005C6D5D" w:rsidRPr="00DE123E">
        <w:rPr>
          <w:sz w:val="22"/>
          <w:szCs w:val="22"/>
        </w:rPr>
        <w:t>Anteil an Antioxidantien, die als Reinstoff mit H317 gekennzeichnet sind</w:t>
      </w:r>
      <w:r w:rsidR="00710C6C">
        <w:rPr>
          <w:sz w:val="22"/>
          <w:szCs w:val="22"/>
        </w:rPr>
        <w:t>,</w:t>
      </w:r>
      <w:r w:rsidRPr="00DE123E">
        <w:rPr>
          <w:sz w:val="22"/>
          <w:szCs w:val="22"/>
        </w:rPr>
        <w:t xml:space="preserve"> </w:t>
      </w:r>
      <w:r w:rsidR="00710C6C">
        <w:rPr>
          <w:sz w:val="22"/>
          <w:szCs w:val="22"/>
        </w:rPr>
        <w:t xml:space="preserve">beträgt max. </w:t>
      </w:r>
      <w:r w:rsidRPr="00DE123E">
        <w:rPr>
          <w:sz w:val="22"/>
          <w:szCs w:val="22"/>
        </w:rPr>
        <w:t>0,6 Gewichts%</w:t>
      </w:r>
      <w:r w:rsidR="00710C6C">
        <w:rPr>
          <w:sz w:val="22"/>
          <w:szCs w:val="22"/>
        </w:rPr>
        <w:t>.</w:t>
      </w:r>
      <w:r w:rsidR="005C6D5D">
        <w:rPr>
          <w:sz w:val="22"/>
          <w:szCs w:val="22"/>
        </w:rPr>
        <w:t xml:space="preserve"> </w:t>
      </w:r>
      <w:bookmarkStart w:id="7" w:name="_Hlk67323352"/>
    </w:p>
    <w:p w14:paraId="029A5218" w14:textId="77777777" w:rsidR="0021684B" w:rsidRDefault="0021684B" w:rsidP="0021684B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sz w:val="22"/>
          <w:szCs w:val="22"/>
        </w:rPr>
      </w:pPr>
    </w:p>
    <w:p w14:paraId="03604D47" w14:textId="77777777" w:rsidR="00E50965" w:rsidRDefault="00E50965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7"/>
    <w:p w14:paraId="20815C42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DBD240C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27692C21" w14:textId="77777777" w:rsidR="00F51085" w:rsidRDefault="00F5108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7CF06312" w14:textId="11566EDA" w:rsidR="00E50965" w:rsidRDefault="00CA09C2" w:rsidP="00F51085">
      <w:pPr>
        <w:tabs>
          <w:tab w:val="right" w:pos="9214"/>
        </w:tabs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3E6454">
        <w:rPr>
          <w:sz w:val="22"/>
          <w:szCs w:val="22"/>
        </w:rPr>
        <w:lastRenderedPageBreak/>
        <w:t>Ort: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  <w:t>Rechtsverbindliche Unterschrift</w:t>
      </w:r>
      <w:r w:rsidRPr="003E6454">
        <w:rPr>
          <w:sz w:val="22"/>
          <w:szCs w:val="22"/>
        </w:rPr>
        <w:br/>
        <w:t>Datum: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</w:r>
    </w:p>
    <w:p w14:paraId="2D15AE17" w14:textId="77777777" w:rsidR="00E50965" w:rsidRDefault="00E50965" w:rsidP="00E50965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</w:rPr>
      </w:pPr>
    </w:p>
    <w:p w14:paraId="72898064" w14:textId="33E784D2" w:rsidR="00EA16BF" w:rsidRPr="00EA16BF" w:rsidRDefault="00E50965" w:rsidP="00CE0F66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de-DE"/>
        </w:rPr>
      </w:pPr>
      <w:r w:rsidRPr="00820E1A">
        <w:rPr>
          <w:i/>
          <w:sz w:val="20"/>
        </w:rPr>
        <w:t>Name in Blockbuchstaben</w:t>
      </w:r>
    </w:p>
    <w:sectPr w:rsidR="00EA16BF" w:rsidRPr="00EA16BF" w:rsidSect="007B4631">
      <w:headerReference w:type="default" r:id="rId11"/>
      <w:footerReference w:type="default" r:id="rId12"/>
      <w:pgSz w:w="11905" w:h="16837"/>
      <w:pgMar w:top="1029" w:right="1417" w:bottom="1134" w:left="1276" w:header="426" w:footer="9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848B" w14:textId="77777777" w:rsidR="007010AB" w:rsidRDefault="007010AB">
      <w:r>
        <w:separator/>
      </w:r>
    </w:p>
  </w:endnote>
  <w:endnote w:type="continuationSeparator" w:id="0">
    <w:p w14:paraId="54499722" w14:textId="77777777" w:rsidR="007010AB" w:rsidRDefault="0070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7B0D" w14:textId="48885EDC" w:rsidR="007B4631" w:rsidRDefault="007B4631">
    <w:pPr>
      <w:pStyle w:val="Fu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66432" behindDoc="1" locked="0" layoutInCell="1" allowOverlap="1" wp14:anchorId="32AC004E" wp14:editId="2C899A15">
          <wp:simplePos x="0" y="0"/>
          <wp:positionH relativeFrom="margin">
            <wp:posOffset>-9525</wp:posOffset>
          </wp:positionH>
          <wp:positionV relativeFrom="paragraph">
            <wp:posOffset>85090</wp:posOffset>
          </wp:positionV>
          <wp:extent cx="318770" cy="509270"/>
          <wp:effectExtent l="0" t="0" r="5080" b="5080"/>
          <wp:wrapTight wrapText="bothSides">
            <wp:wrapPolygon edited="0">
              <wp:start x="0" y="0"/>
              <wp:lineTo x="0" y="21007"/>
              <wp:lineTo x="20653" y="21007"/>
              <wp:lineTo x="20653" y="0"/>
              <wp:lineTo x="0" y="0"/>
            </wp:wrapPolygon>
          </wp:wrapTight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74649832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D3FBB">
          <w:rPr>
            <w:noProof/>
          </w:rPr>
          <w:t>1</w:t>
        </w:r>
        <w:r>
          <w:fldChar w:fldCharType="end"/>
        </w:r>
      </w:sdtContent>
    </w:sdt>
  </w:p>
  <w:p w14:paraId="497D2245" w14:textId="6F11F991" w:rsidR="007B4631" w:rsidRDefault="007B4631">
    <w:pPr>
      <w:pStyle w:val="Fuzeile"/>
    </w:pPr>
    <w:r>
      <w:t>Verein für Konsumenteninformation, Linke Wienzeile 18 - 1060 Wien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9D55E" w14:textId="77777777" w:rsidR="007010AB" w:rsidRDefault="007010AB">
      <w:r>
        <w:separator/>
      </w:r>
    </w:p>
  </w:footnote>
  <w:footnote w:type="continuationSeparator" w:id="0">
    <w:p w14:paraId="48EF7FC6" w14:textId="77777777" w:rsidR="007010AB" w:rsidRDefault="007010AB">
      <w:r>
        <w:continuationSeparator/>
      </w:r>
    </w:p>
  </w:footnote>
  <w:footnote w:id="1">
    <w:p w14:paraId="15EA2F85" w14:textId="77777777" w:rsidR="002C7621" w:rsidRPr="00E81D0D" w:rsidRDefault="002C7621" w:rsidP="002C7621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hier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2">
    <w:p w14:paraId="542DBAEF" w14:textId="77777777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Sie werden zurzeit (2023) so im Sicherheitsdatenblatt genannt; spätestens ab 1.5.2028 werden sie durch EUH440 und EUH441 ersetzt.</w:t>
      </w:r>
    </w:p>
  </w:footnote>
  <w:footnote w:id="3">
    <w:p w14:paraId="796956CF" w14:textId="77777777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4">
    <w:p w14:paraId="59344A4B" w14:textId="77777777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5">
    <w:p w14:paraId="46130C44" w14:textId="77777777" w:rsidR="002C7621" w:rsidRPr="00B04527" w:rsidRDefault="002C7621" w:rsidP="002C7621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</w:t>
      </w:r>
      <w:proofErr w:type="spellStart"/>
      <w:r w:rsidRPr="00B04527">
        <w:rPr>
          <w:szCs w:val="16"/>
        </w:rPr>
        <w:t>idgF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3E30" w14:textId="0A9E28B8" w:rsidR="007520B6" w:rsidRPr="007B4631" w:rsidRDefault="007B4631" w:rsidP="007B4631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ind w:left="709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7B4631">
      <w:rPr>
        <w:rFonts w:cs="Arial"/>
        <w:bCs/>
        <w:sz w:val="16"/>
        <w:szCs w:val="16"/>
        <w:lang w:val="en-US" w:eastAsia="en-GB"/>
      </w:rPr>
      <w:t>Version Dez. 2</w:t>
    </w:r>
    <w:r w:rsidR="00842B5B">
      <w:rPr>
        <w:rFonts w:cs="Arial"/>
        <w:bCs/>
        <w:sz w:val="16"/>
        <w:szCs w:val="16"/>
        <w:lang w:val="en-US" w:eastAsia="en-GB"/>
      </w:rPr>
      <w:t>4</w:t>
    </w:r>
  </w:p>
  <w:p w14:paraId="1DEE70E9" w14:textId="5748A6EB" w:rsidR="007520B6" w:rsidRPr="00116E68" w:rsidRDefault="007520B6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 w:val="16"/>
        <w:szCs w:val="16"/>
        <w:lang w:val="en-US" w:eastAsia="en-US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70CD2F" wp14:editId="3D7C7212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9882DD" id="Rectangle 2" o:spid="_x0000_s1026" style="position:absolute;margin-left:37.05pt;margin-top:33.2pt;width:528pt;height:785.3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30E8E4" wp14:editId="71635030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7547D6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710007">
    <w:abstractNumId w:val="1"/>
  </w:num>
  <w:num w:numId="2" w16cid:durableId="643124467">
    <w:abstractNumId w:val="2"/>
  </w:num>
  <w:num w:numId="3" w16cid:durableId="12622263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414983031">
    <w:abstractNumId w:val="5"/>
  </w:num>
  <w:num w:numId="5" w16cid:durableId="191656325">
    <w:abstractNumId w:val="6"/>
  </w:num>
  <w:num w:numId="6" w16cid:durableId="39673123">
    <w:abstractNumId w:val="4"/>
  </w:num>
  <w:num w:numId="7" w16cid:durableId="1618608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F36AA4-A7D3-4D77-A54B-213C4C69C3E4}"/>
    <w:docVar w:name="dgnword-eventsink" w:val="203841944"/>
  </w:docVars>
  <w:rsids>
    <w:rsidRoot w:val="00635D59"/>
    <w:rsid w:val="000007F6"/>
    <w:rsid w:val="0000358D"/>
    <w:rsid w:val="000269B1"/>
    <w:rsid w:val="00026AD7"/>
    <w:rsid w:val="0003181B"/>
    <w:rsid w:val="00057AF6"/>
    <w:rsid w:val="00057F70"/>
    <w:rsid w:val="00062A16"/>
    <w:rsid w:val="000C3A47"/>
    <w:rsid w:val="000E13D6"/>
    <w:rsid w:val="001207E3"/>
    <w:rsid w:val="00182879"/>
    <w:rsid w:val="001E4DD4"/>
    <w:rsid w:val="002008A4"/>
    <w:rsid w:val="0021684B"/>
    <w:rsid w:val="0022636C"/>
    <w:rsid w:val="00235488"/>
    <w:rsid w:val="00243976"/>
    <w:rsid w:val="00251421"/>
    <w:rsid w:val="002545DD"/>
    <w:rsid w:val="0028259D"/>
    <w:rsid w:val="002C03F9"/>
    <w:rsid w:val="002C2770"/>
    <w:rsid w:val="002C7621"/>
    <w:rsid w:val="003646BE"/>
    <w:rsid w:val="003A753F"/>
    <w:rsid w:val="003C4154"/>
    <w:rsid w:val="003F5E22"/>
    <w:rsid w:val="00406654"/>
    <w:rsid w:val="00407704"/>
    <w:rsid w:val="004121A4"/>
    <w:rsid w:val="00427BFF"/>
    <w:rsid w:val="0045426E"/>
    <w:rsid w:val="00474B57"/>
    <w:rsid w:val="004A079A"/>
    <w:rsid w:val="004D3FBB"/>
    <w:rsid w:val="004F6D16"/>
    <w:rsid w:val="00572540"/>
    <w:rsid w:val="00596786"/>
    <w:rsid w:val="005C6D5D"/>
    <w:rsid w:val="005F2479"/>
    <w:rsid w:val="00605AFF"/>
    <w:rsid w:val="00635D59"/>
    <w:rsid w:val="00690C0C"/>
    <w:rsid w:val="006E1AB7"/>
    <w:rsid w:val="007010AB"/>
    <w:rsid w:val="00710C6C"/>
    <w:rsid w:val="007246D6"/>
    <w:rsid w:val="00732C34"/>
    <w:rsid w:val="00737E4C"/>
    <w:rsid w:val="007520B6"/>
    <w:rsid w:val="00783BD8"/>
    <w:rsid w:val="007B4631"/>
    <w:rsid w:val="007E6FAE"/>
    <w:rsid w:val="00842B5B"/>
    <w:rsid w:val="00852692"/>
    <w:rsid w:val="00890076"/>
    <w:rsid w:val="008D096B"/>
    <w:rsid w:val="008E7F66"/>
    <w:rsid w:val="00963E12"/>
    <w:rsid w:val="009A0E9C"/>
    <w:rsid w:val="009D0E91"/>
    <w:rsid w:val="00AA19B2"/>
    <w:rsid w:val="00AA7E73"/>
    <w:rsid w:val="00AB4346"/>
    <w:rsid w:val="00AE7545"/>
    <w:rsid w:val="00B42635"/>
    <w:rsid w:val="00B57390"/>
    <w:rsid w:val="00B91047"/>
    <w:rsid w:val="00BA1E6A"/>
    <w:rsid w:val="00BB69EE"/>
    <w:rsid w:val="00BB6A72"/>
    <w:rsid w:val="00C146AD"/>
    <w:rsid w:val="00C216B2"/>
    <w:rsid w:val="00C53F2B"/>
    <w:rsid w:val="00C67FCC"/>
    <w:rsid w:val="00CA09C2"/>
    <w:rsid w:val="00CB509C"/>
    <w:rsid w:val="00CC4D38"/>
    <w:rsid w:val="00CE0F66"/>
    <w:rsid w:val="00CE303A"/>
    <w:rsid w:val="00D06171"/>
    <w:rsid w:val="00D365E2"/>
    <w:rsid w:val="00D563D9"/>
    <w:rsid w:val="00D81884"/>
    <w:rsid w:val="00DC3AD3"/>
    <w:rsid w:val="00DE123E"/>
    <w:rsid w:val="00E22124"/>
    <w:rsid w:val="00E24404"/>
    <w:rsid w:val="00E40CDD"/>
    <w:rsid w:val="00E50965"/>
    <w:rsid w:val="00E617AA"/>
    <w:rsid w:val="00EA1336"/>
    <w:rsid w:val="00EA16BF"/>
    <w:rsid w:val="00EF5F9A"/>
    <w:rsid w:val="00F20E95"/>
    <w:rsid w:val="00F41C4B"/>
    <w:rsid w:val="00F51085"/>
    <w:rsid w:val="00F656C2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E86F12"/>
  <w15:docId w15:val="{827D7E27-2441-4EF6-BC7B-4A622168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0007F6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51085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2C7621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BD484-265F-4052-BA46-7FE26569B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F6864-6FE0-4E82-B267-652E5A38589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B850F5C7-7307-4B4C-AF9D-B350D1105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1120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8165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Reschl Josef</cp:lastModifiedBy>
  <cp:revision>27</cp:revision>
  <cp:lastPrinted>2014-11-16T11:38:00Z</cp:lastPrinted>
  <dcterms:created xsi:type="dcterms:W3CDTF">2021-05-27T09:12:00Z</dcterms:created>
  <dcterms:modified xsi:type="dcterms:W3CDTF">2024-12-19T17:57:00Z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66038700</vt:r8>
  </property>
  <property fmtid="{D5CDD505-2E9C-101B-9397-08002B2CF9AE}" pid="4" name="MediaServiceImageTags">
    <vt:lpwstr/>
  </property>
</Properties>
</file>